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wommack-tree-walk-field-key"/>
    <w:p>
      <w:pPr>
        <w:pStyle w:val="Heading1"/>
      </w:pPr>
      <w:r>
        <w:t xml:space="preserve">Wommack Tree Walk — Field Key</w:t>
      </w:r>
    </w:p>
    <w:p>
      <w:pPr>
        <w:pStyle w:val="FirstParagraph"/>
      </w:pPr>
      <w:r>
        <w:rPr>
          <w:iCs/>
          <w:i/>
        </w:rPr>
        <w:t xml:space="preserve">NAU Arboretum · ENV 226 Ecology Lab · 18 taxa, 14 couplets</w:t>
      </w:r>
    </w:p>
    <w:p>
      <w:pPr>
        <w:pStyle w:val="BodyText"/>
      </w:pPr>
      <w:r>
        <w:t xml:space="preserve">Find the tree on the map, stand under it, and key it</w:t>
      </w:r>
      <w:r>
        <w:t xml:space="preserve"> </w:t>
      </w:r>
      <w:r>
        <w:rPr>
          <w:bCs/>
          <w:b/>
        </w:rPr>
        <w:t xml:space="preserve">before</w:t>
      </w:r>
      <w:r>
        <w:t xml:space="preserve"> </w:t>
      </w:r>
      <w:r>
        <w:t xml:space="preserve">you open the</w:t>
      </w:r>
      <w:r>
        <w:t xml:space="preserve"> </w:t>
      </w:r>
      <w:r>
        <w:t xml:space="preserve">pin description — the description names the species. Decide how confident you are</w:t>
      </w:r>
      <w:r>
        <w:t xml:space="preserve"> </w:t>
      </w:r>
      <w:r>
        <w:rPr>
          <w:iCs/>
          <w:i/>
        </w:rPr>
        <w:t xml:space="preserve">before</w:t>
      </w:r>
      <w:r>
        <w:t xml:space="preserve"> </w:t>
      </w:r>
      <w:r>
        <w:t xml:space="preserve">you check, and write the name down either way.</w:t>
      </w:r>
    </w:p>
    <w:p>
      <w:pPr>
        <w:pStyle w:val="BodyText"/>
      </w:pPr>
      <w:r>
        <w:t xml:space="preserve">Map:</w:t>
      </w:r>
      <w:r>
        <w:t xml:space="preserve"> </w:t>
      </w:r>
      <w:hyperlink r:id="rId20">
        <w:r>
          <w:rPr>
            <w:rStyle w:val="Hyperlink"/>
          </w:rPr>
          <w:t xml:space="preserve">https://www.google.com/maps/d/viewer?mid=17MquqgFMAz47Fywbk5kbhptIV8MY4hdI</w:t>
        </w:r>
      </w:hyperlink>
    </w:p>
    <w:p>
      <w:pPr>
        <w:pStyle w:val="BodyText"/>
      </w:pPr>
      <w:r>
        <w:t xml:space="preserve">This key is pruned to the trees on this walk, so its couplet numbers are its own and will not</w:t>
      </w:r>
      <w:r>
        <w:t xml:space="preserve"> </w:t>
      </w:r>
      <w:r>
        <w:t xml:space="preserve">match the full campus key.</w:t>
      </w:r>
    </w:p>
    <w:p>
      <w:pPr>
        <w:pStyle w:val="BodyText"/>
      </w:pPr>
      <w:r>
        <w:rPr>
          <w:bCs/>
          <w:b/>
        </w:rPr>
        <w:t xml:space="preserve">Start here.</w:t>
      </w:r>
      <w:r>
        <w:t xml:space="preserve"> </w:t>
      </w:r>
      <w:r>
        <w:t xml:space="preserve">Look at the leaves first:</w:t>
      </w:r>
    </w:p>
    <w:p>
      <w:pPr>
        <w:numPr>
          <w:ilvl w:val="0"/>
          <w:numId w:val="1001"/>
        </w:numPr>
        <w:pStyle w:val="Compact"/>
      </w:pPr>
      <w:r>
        <w:t xml:space="preserve">Leaves</w:t>
      </w:r>
      <w:r>
        <w:t xml:space="preserve"> </w:t>
      </w:r>
      <w:r>
        <w:rPr>
          <w:bCs/>
          <w:b/>
        </w:rPr>
        <w:t xml:space="preserve">needle-like or scale-like (a conifer)</w:t>
      </w:r>
      <w:r>
        <w:t xml:space="preserve"> </w:t>
      </w:r>
      <w:r>
        <w:t xml:space="preserve">→ go to couplet 1</w:t>
      </w:r>
    </w:p>
    <w:p>
      <w:pPr>
        <w:numPr>
          <w:ilvl w:val="0"/>
          <w:numId w:val="1001"/>
        </w:numPr>
        <w:pStyle w:val="Compact"/>
      </w:pPr>
      <w:r>
        <w:t xml:space="preserve">Leaves</w:t>
      </w:r>
      <w:r>
        <w:t xml:space="preserve"> </w:t>
      </w:r>
      <w:r>
        <w:rPr>
          <w:bCs/>
          <w:b/>
        </w:rPr>
        <w:t xml:space="preserve">broad and flat (a hardwood)</w:t>
      </w:r>
      <w:r>
        <w:t xml:space="preserve"> </w:t>
      </w:r>
      <w:r>
        <w:t xml:space="preserve">→ go to couplet 8</w:t>
      </w:r>
    </w:p>
    <w:p>
      <w:r>
        <w:pict>
          <v:rect style="width:0;height:1.5pt" o:hralign="center" o:hrstd="t" o:hr="t"/>
        </w:pict>
      </w:r>
    </w:p>
    <w:bookmarkStart w:id="21" w:name="X9f7b88d00abe9a1e19cd917123a5c3e395db837"/>
    <w:p>
      <w:pPr>
        <w:pStyle w:val="Heading2"/>
      </w:pPr>
      <w:r>
        <w:t xml:space="preserve">Group I — Leaves needle-like or scale-like (conifers)</w:t>
      </w:r>
    </w:p>
    <w:p>
      <w:pPr>
        <w:pStyle w:val="FirstParagraph"/>
      </w:pPr>
      <w:r>
        <w:rPr>
          <w:bCs/>
          <w:b/>
        </w:rPr>
        <w:t xml:space="preserve">1a.</w:t>
      </w:r>
      <w:r>
        <w:t xml:space="preserve"> </w:t>
      </w:r>
      <w:r>
        <w:t xml:space="preserve">Leaves scale-like, or short and awl-shaped, overlapping and pressed close along the twig. →</w:t>
      </w:r>
      <w:r>
        <w:t xml:space="preserve"> </w:t>
      </w:r>
      <w:r>
        <w:rPr>
          <w:iCs/>
          <w:i/>
          <w:bCs/>
          <w:b/>
        </w:rPr>
        <w:t xml:space="preserve">Sequoiadendron giganteum</w:t>
      </w:r>
      <w:r>
        <w:t xml:space="preserve">, giant sequoia [P]</w:t>
      </w:r>
    </w:p>
    <w:p>
      <w:pPr>
        <w:pStyle w:val="BodyText"/>
      </w:pPr>
      <w:r>
        <w:rPr>
          <w:bCs/>
          <w:b/>
        </w:rPr>
        <w:t xml:space="preserve">1b.</w:t>
      </w:r>
      <w:r>
        <w:t xml:space="preserve"> </w:t>
      </w:r>
      <w:r>
        <w:t xml:space="preserve">Leaves needle-like, standing clearly out from the twig. →</w:t>
      </w:r>
      <w:r>
        <w:t xml:space="preserve"> </w:t>
      </w:r>
      <w:r>
        <w:rPr>
          <w:bCs/>
          <w:b/>
        </w:rPr>
        <w:t xml:space="preserve">go to 2</w:t>
      </w:r>
    </w:p>
    <w:p>
      <w:pPr>
        <w:pStyle w:val="BodyText"/>
      </w:pPr>
      <w:r>
        <w:rPr>
          <w:bCs/>
          <w:b/>
        </w:rPr>
        <w:t xml:space="preserve">2a.</w:t>
      </w:r>
      <w:r>
        <w:t xml:space="preserve"> </w:t>
      </w:r>
      <w:r>
        <w:t xml:space="preserve">Needles in dense whorls of twenty or more on short stubby spur shoots, with single needles on the long shoots; needles under 2.5 cm, three-sided, blue-green; cones erect, barrel-shaped, breaking apart on the tree. →</w:t>
      </w:r>
      <w:r>
        <w:t xml:space="preserve"> </w:t>
      </w:r>
      <w:r>
        <w:rPr>
          <w:iCs/>
          <w:i/>
          <w:bCs/>
          <w:b/>
        </w:rPr>
        <w:t xml:space="preserve">Cedrus atlantica</w:t>
      </w:r>
      <w:r>
        <w:rPr>
          <w:bCs/>
          <w:b/>
        </w:rPr>
        <w:t xml:space="preserve"> </w:t>
      </w:r>
      <w:r>
        <w:rPr>
          <w:bCs/>
          <w:b/>
        </w:rPr>
        <w:t xml:space="preserve">var.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glauca</w:t>
      </w:r>
      <w:r>
        <w:t xml:space="preserve">, blue atlas cedar [P]</w:t>
      </w:r>
    </w:p>
    <w:p>
      <w:pPr>
        <w:pStyle w:val="BodyText"/>
      </w:pPr>
      <w:r>
        <w:rPr>
          <w:bCs/>
          <w:b/>
        </w:rPr>
        <w:t xml:space="preserve">2b.</w:t>
      </w:r>
      <w:r>
        <w:t xml:space="preserve"> </w:t>
      </w:r>
      <w:r>
        <w:t xml:space="preserve">Needles in bundles of 2–5, wrapped at the base in a papery sheath. →</w:t>
      </w:r>
      <w:r>
        <w:t xml:space="preserve"> </w:t>
      </w:r>
      <w:r>
        <w:rPr>
          <w:bCs/>
          <w:b/>
        </w:rPr>
        <w:t xml:space="preserve">go to 3</w:t>
      </w:r>
    </w:p>
    <w:p>
      <w:pPr>
        <w:pStyle w:val="BodyText"/>
      </w:pPr>
      <w:r>
        <w:rPr>
          <w:bCs/>
          <w:b/>
        </w:rPr>
        <w:t xml:space="preserve">2c.</w:t>
      </w:r>
      <w:r>
        <w:t xml:space="preserve"> </w:t>
      </w:r>
      <w:r>
        <w:t xml:space="preserve">Needles borne singly along the twig. →</w:t>
      </w:r>
      <w:r>
        <w:t xml:space="preserve"> </w:t>
      </w:r>
      <w:r>
        <w:rPr>
          <w:bCs/>
          <w:b/>
        </w:rPr>
        <w:t xml:space="preserve">go to 4</w:t>
      </w:r>
    </w:p>
    <w:p>
      <w:pPr>
        <w:pStyle w:val="BodyText"/>
      </w:pPr>
      <w:r>
        <w:rPr>
          <w:bCs/>
          <w:b/>
        </w:rPr>
        <w:t xml:space="preserve">3a.</w:t>
      </w:r>
      <w:r>
        <w:t xml:space="preserve"> </w:t>
      </w:r>
      <w:r>
        <w:t xml:space="preserve">Needles mostly 3 per bundle. →</w:t>
      </w:r>
      <w:r>
        <w:t xml:space="preserve"> </w:t>
      </w:r>
      <w:r>
        <w:rPr>
          <w:iCs/>
          <w:i/>
          <w:bCs/>
          <w:b/>
        </w:rPr>
        <w:t xml:space="preserve">Pinus ponderosa</w:t>
      </w:r>
      <w:r>
        <w:rPr>
          <w:bCs/>
          <w:b/>
        </w:rPr>
        <w:t xml:space="preserve"> </w:t>
      </w:r>
      <w:r>
        <w:rPr>
          <w:bCs/>
          <w:b/>
        </w:rPr>
        <w:t xml:space="preserve">var.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scopulorum</w:t>
      </w:r>
      <w:r>
        <w:t xml:space="preserve">, ponderosa pine [N]</w:t>
      </w:r>
    </w:p>
    <w:p>
      <w:pPr>
        <w:pStyle w:val="BodyText"/>
      </w:pPr>
      <w:r>
        <w:rPr>
          <w:bCs/>
          <w:b/>
        </w:rPr>
        <w:t xml:space="preserve">3b.</w:t>
      </w:r>
      <w:r>
        <w:t xml:space="preserve"> </w:t>
      </w:r>
      <w:r>
        <w:t xml:space="preserve">Needles 2 per bundle. →</w:t>
      </w:r>
      <w:r>
        <w:t xml:space="preserve"> </w:t>
      </w:r>
      <w:r>
        <w:rPr>
          <w:iCs/>
          <w:i/>
          <w:bCs/>
          <w:b/>
        </w:rPr>
        <w:t xml:space="preserve">Pinus sylvestris</w:t>
      </w:r>
      <w:r>
        <w:t xml:space="preserve">, Scots pine [P]</w:t>
      </w:r>
    </w:p>
    <w:p>
      <w:pPr>
        <w:pStyle w:val="BlockText"/>
      </w:pPr>
      <w:r>
        <w:t xml:space="preserve">Ponderosa often carries some 2-needle bundles. If a two-needled pine has needles longer than 17 cm and yellow-orange plated bark, check several more bundles before you leave this couplet.</w:t>
      </w:r>
    </w:p>
    <w:p>
      <w:pPr>
        <w:pStyle w:val="FirstParagraph"/>
      </w:pPr>
      <w:r>
        <w:rPr>
          <w:bCs/>
          <w:b/>
        </w:rPr>
        <w:t xml:space="preserve">4a.</w:t>
      </w:r>
      <w:r>
        <w:t xml:space="preserve"> </w:t>
      </w:r>
      <w:r>
        <w:t xml:space="preserve">Needles four-sided — roll one between finger and thumb and it turns rather than resisting; sharp-tipped; borne on small woody pegs that stay on the twig after the needle falls, leaving old twigs rough. →</w:t>
      </w:r>
      <w:r>
        <w:t xml:space="preserve"> </w:t>
      </w:r>
      <w:r>
        <w:rPr>
          <w:bCs/>
          <w:b/>
        </w:rPr>
        <w:t xml:space="preserve">go to 5</w:t>
      </w:r>
    </w:p>
    <w:p>
      <w:pPr>
        <w:pStyle w:val="BodyText"/>
      </w:pPr>
      <w:r>
        <w:rPr>
          <w:bCs/>
          <w:b/>
        </w:rPr>
        <w:t xml:space="preserve">4b.</w:t>
      </w:r>
      <w:r>
        <w:t xml:space="preserve"> </w:t>
      </w:r>
      <w:r>
        <w:t xml:space="preserve">Needles flat — roll one and it resists. →</w:t>
      </w:r>
      <w:r>
        <w:t xml:space="preserve"> </w:t>
      </w:r>
      <w:r>
        <w:rPr>
          <w:bCs/>
          <w:b/>
        </w:rPr>
        <w:t xml:space="preserve">go to 6</w:t>
      </w:r>
    </w:p>
    <w:p>
      <w:pPr>
        <w:pStyle w:val="BodyText"/>
      </w:pPr>
      <w:r>
        <w:rPr>
          <w:bCs/>
          <w:b/>
        </w:rPr>
        <w:t xml:space="preserve">5a.</w:t>
      </w:r>
      <w:r>
        <w:t xml:space="preserve"> </w:t>
      </w:r>
      <w:r>
        <w:t xml:space="preserve">Cone 12–16 cm, far longer than any other spruce here; needles blunt-tipped. →</w:t>
      </w:r>
      <w:r>
        <w:t xml:space="preserve"> </w:t>
      </w:r>
      <w:r>
        <w:rPr>
          <w:iCs/>
          <w:i/>
          <w:bCs/>
          <w:b/>
        </w:rPr>
        <w:t xml:space="preserve">Picea abies</w:t>
      </w:r>
      <w:r>
        <w:t xml:space="preserve">, Norway spruce [P]</w:t>
      </w:r>
    </w:p>
    <w:p>
      <w:pPr>
        <w:pStyle w:val="BodyText"/>
      </w:pPr>
      <w:r>
        <w:rPr>
          <w:bCs/>
          <w:b/>
        </w:rPr>
        <w:t xml:space="preserve">5b.</w:t>
      </w:r>
      <w:r>
        <w:t xml:space="preserve"> </w:t>
      </w:r>
      <w:r>
        <w:t xml:space="preserve">Cone under 12 cm. →</w:t>
      </w:r>
      <w:r>
        <w:t xml:space="preserve"> </w:t>
      </w:r>
      <w:r>
        <w:rPr>
          <w:iCs/>
          <w:i/>
          <w:bCs/>
          <w:b/>
        </w:rPr>
        <w:t xml:space="preserve">Picea pungens</w:t>
      </w:r>
      <w:r>
        <w:t xml:space="preserve">, Colorado blue spruce [P]</w:t>
      </w:r>
    </w:p>
    <w:p>
      <w:pPr>
        <w:pStyle w:val="BodyText"/>
      </w:pPr>
      <w:r>
        <w:rPr>
          <w:bCs/>
          <w:b/>
        </w:rPr>
        <w:t xml:space="preserve">6a.</w:t>
      </w:r>
      <w:r>
        <w:t xml:space="preserve"> </w:t>
      </w:r>
      <w:r>
        <w:t xml:space="preserve">Needles in two flat ranks on tiny stalks set on woody pegs; needle margins minutely toothed under a lens; cones only 1.5–2.5 cm; buds about 2 mm; the leading shoot at the top of the tree droops over. →</w:t>
      </w:r>
      <w:r>
        <w:t xml:space="preserve"> </w:t>
      </w:r>
      <w:r>
        <w:rPr>
          <w:iCs/>
          <w:i/>
          <w:bCs/>
          <w:b/>
        </w:rPr>
        <w:t xml:space="preserve">Tsuga canadensis</w:t>
      </w:r>
      <w:r>
        <w:t xml:space="preserve">, eastern hemlock [P]</w:t>
      </w:r>
    </w:p>
    <w:p>
      <w:pPr>
        <w:pStyle w:val="BodyText"/>
      </w:pPr>
      <w:r>
        <w:rPr>
          <w:bCs/>
          <w:b/>
        </w:rPr>
        <w:t xml:space="preserve">6b.</w:t>
      </w:r>
      <w:r>
        <w:t xml:space="preserve"> </w:t>
      </w:r>
      <w:r>
        <w:t xml:space="preserve">Needle attached directly to the twig, leaving a round scar flush with the surface; cones erect and falling apart on the tree, so you rarely find a whole one under it. →</w:t>
      </w:r>
      <w:r>
        <w:t xml:space="preserve"> </w:t>
      </w:r>
      <w:r>
        <w:rPr>
          <w:bCs/>
          <w:b/>
        </w:rPr>
        <w:t xml:space="preserve">go to 7</w:t>
      </w:r>
    </w:p>
    <w:p>
      <w:pPr>
        <w:pStyle w:val="BlockText"/>
      </w:pPr>
      <w:r>
        <w:t xml:space="preserve">The bud is the quickest way in: Douglas-fir about 10 mm, hemlock about 2 mm. That is a fivefold difference you can see without a lens.</w:t>
      </w:r>
    </w:p>
    <w:p>
      <w:pPr>
        <w:pStyle w:val="FirstParagraph"/>
      </w:pPr>
      <w:r>
        <w:rPr>
          <w:bCs/>
          <w:b/>
        </w:rPr>
        <w:t xml:space="preserve">7a.</w:t>
      </w:r>
      <w:r>
        <w:t xml:space="preserve"> </w:t>
      </w:r>
      <w:r>
        <w:t xml:space="preserve">Needles 6–20 mm, stiff, nearly round in cross-section, standing straight out all round the twig like a bottle brush. →</w:t>
      </w:r>
      <w:r>
        <w:t xml:space="preserve"> </w:t>
      </w:r>
      <w:r>
        <w:rPr>
          <w:iCs/>
          <w:i/>
          <w:bCs/>
          <w:b/>
        </w:rPr>
        <w:t xml:space="preserve">Abies pinsapo</w:t>
      </w:r>
      <w:r>
        <w:t xml:space="preserve">, Spanish fir [P]</w:t>
      </w:r>
    </w:p>
    <w:p>
      <w:pPr>
        <w:pStyle w:val="BodyText"/>
      </w:pPr>
      <w:r>
        <w:rPr>
          <w:bCs/>
          <w:b/>
        </w:rPr>
        <w:t xml:space="preserve">7b.</w:t>
      </w:r>
      <w:r>
        <w:t xml:space="preserve"> </w:t>
      </w:r>
      <w:r>
        <w:t xml:space="preserve">Needles 15–60 mm, flat. →</w:t>
      </w:r>
      <w:r>
        <w:t xml:space="preserve"> </w:t>
      </w:r>
      <w:r>
        <w:rPr>
          <w:iCs/>
          <w:i/>
          <w:bCs/>
          <w:b/>
        </w:rPr>
        <w:t xml:space="preserve">Abies lasiocarpa</w:t>
      </w:r>
      <w:r>
        <w:rPr>
          <w:bCs/>
          <w:b/>
        </w:rPr>
        <w:t xml:space="preserve"> </w:t>
      </w:r>
      <w:r>
        <w:rPr>
          <w:bCs/>
          <w:b/>
        </w:rPr>
        <w:t xml:space="preserve">var.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arizonica</w:t>
      </w:r>
      <w:r>
        <w:t xml:space="preserve">, corkbark fir [N]</w:t>
      </w:r>
    </w:p>
    <w:bookmarkEnd w:id="21"/>
    <w:bookmarkStart w:id="22" w:name="group-ii-leaves-broad-and-flat-hardwoods"/>
    <w:p>
      <w:pPr>
        <w:pStyle w:val="Heading2"/>
      </w:pPr>
      <w:r>
        <w:t xml:space="preserve">Group II — Leaves broad and flat (hardwoods)</w:t>
      </w:r>
    </w:p>
    <w:p>
      <w:pPr>
        <w:pStyle w:val="FirstParagraph"/>
      </w:pPr>
      <w:r>
        <w:rPr>
          <w:bCs/>
          <w:b/>
        </w:rPr>
        <w:t xml:space="preserve">8a.</w:t>
      </w:r>
      <w:r>
        <w:t xml:space="preserve"> </w:t>
      </w:r>
      <w:r>
        <w:t xml:space="preserve">Leaves opposite — in pairs directly across from each other. →</w:t>
      </w:r>
      <w:r>
        <w:t xml:space="preserve"> </w:t>
      </w:r>
      <w:r>
        <w:rPr>
          <w:iCs/>
          <w:i/>
          <w:bCs/>
          <w:b/>
        </w:rPr>
        <w:t xml:space="preserve">Acer pseudoplatanus</w:t>
      </w:r>
      <w:r>
        <w:t xml:space="preserve">, sycamore maple [P]</w:t>
      </w:r>
    </w:p>
    <w:p>
      <w:pPr>
        <w:pStyle w:val="BodyText"/>
      </w:pPr>
      <w:r>
        <w:rPr>
          <w:bCs/>
          <w:b/>
        </w:rPr>
        <w:t xml:space="preserve">8b.</w:t>
      </w:r>
      <w:r>
        <w:t xml:space="preserve"> </w:t>
      </w:r>
      <w:r>
        <w:t xml:space="preserve">Leaves alternate — staggered along the twig. →</w:t>
      </w:r>
      <w:r>
        <w:t xml:space="preserve"> </w:t>
      </w:r>
      <w:r>
        <w:rPr>
          <w:bCs/>
          <w:b/>
        </w:rPr>
        <w:t xml:space="preserve">go to 9</w:t>
      </w:r>
    </w:p>
    <w:p>
      <w:pPr>
        <w:pStyle w:val="BlockText"/>
      </w:pPr>
      <w:r>
        <w:t xml:space="preserve">Check this on a twig from this year’s growth, and check it twice. It is the most powerful character in this group and the one people most often get wrong on a crowded shoot.</w:t>
      </w:r>
    </w:p>
    <w:p>
      <w:pPr>
        <w:pStyle w:val="FirstParagraph"/>
      </w:pPr>
      <w:r>
        <w:rPr>
          <w:bCs/>
          <w:b/>
        </w:rPr>
        <w:t xml:space="preserve">9a.</w:t>
      </w:r>
      <w:r>
        <w:t xml:space="preserve"> </w:t>
      </w:r>
      <w:r>
        <w:t xml:space="preserve">Leaf compound. →</w:t>
      </w:r>
      <w:r>
        <w:t xml:space="preserve"> </w:t>
      </w:r>
      <w:r>
        <w:rPr>
          <w:iCs/>
          <w:i/>
          <w:bCs/>
          <w:b/>
        </w:rPr>
        <w:t xml:space="preserve">Rosa sp.</w:t>
      </w:r>
      <w:r>
        <w:t xml:space="preserve">, rose — the Riles and McCormick roses [P]</w:t>
      </w:r>
    </w:p>
    <w:p>
      <w:pPr>
        <w:pStyle w:val="BodyText"/>
      </w:pPr>
      <w:r>
        <w:rPr>
          <w:bCs/>
          <w:b/>
        </w:rPr>
        <w:t xml:space="preserve">9b.</w:t>
      </w:r>
      <w:r>
        <w:t xml:space="preserve"> </w:t>
      </w:r>
      <w:r>
        <w:t xml:space="preserve">Leaf simple. →</w:t>
      </w:r>
      <w:r>
        <w:t xml:space="preserve"> </w:t>
      </w:r>
      <w:r>
        <w:rPr>
          <w:bCs/>
          <w:b/>
        </w:rPr>
        <w:t xml:space="preserve">go to 10</w:t>
      </w:r>
    </w:p>
    <w:p>
      <w:pPr>
        <w:pStyle w:val="BodyText"/>
      </w:pPr>
      <w:r>
        <w:rPr>
          <w:bCs/>
          <w:b/>
        </w:rPr>
        <w:t xml:space="preserve">10a.</w:t>
      </w:r>
      <w:r>
        <w:t xml:space="preserve"> </w:t>
      </w:r>
      <w:r>
        <w:t xml:space="preserve">Bark smooth and chalky white to pale grey, at least on the upper trunk. →</w:t>
      </w:r>
      <w:r>
        <w:t xml:space="preserve"> </w:t>
      </w:r>
      <w:r>
        <w:rPr>
          <w:iCs/>
          <w:i/>
          <w:bCs/>
          <w:b/>
        </w:rPr>
        <w:t xml:space="preserve">Betula pendula</w:t>
      </w:r>
      <w:r>
        <w:t xml:space="preserve">, European white birch [P]</w:t>
      </w:r>
    </w:p>
    <w:p>
      <w:pPr>
        <w:pStyle w:val="BodyText"/>
      </w:pPr>
      <w:r>
        <w:rPr>
          <w:bCs/>
          <w:b/>
        </w:rPr>
        <w:t xml:space="preserve">10b.</w:t>
      </w:r>
      <w:r>
        <w:t xml:space="preserve"> </w:t>
      </w:r>
      <w:r>
        <w:t xml:space="preserve">Bark not white. →</w:t>
      </w:r>
      <w:r>
        <w:t xml:space="preserve"> </w:t>
      </w:r>
      <w:r>
        <w:rPr>
          <w:bCs/>
          <w:b/>
        </w:rPr>
        <w:t xml:space="preserve">go to 11</w:t>
      </w:r>
    </w:p>
    <w:p>
      <w:pPr>
        <w:pStyle w:val="BodyText"/>
      </w:pPr>
      <w:r>
        <w:rPr>
          <w:bCs/>
          <w:b/>
        </w:rPr>
        <w:t xml:space="preserve">11a.</w:t>
      </w:r>
      <w:r>
        <w:t xml:space="preserve"> </w:t>
      </w:r>
      <w:r>
        <w:t xml:space="preserve">Leaf deeply lobed. →</w:t>
      </w:r>
      <w:r>
        <w:t xml:space="preserve"> </w:t>
      </w:r>
      <w:r>
        <w:rPr>
          <w:iCs/>
          <w:i/>
          <w:bCs/>
          <w:b/>
        </w:rPr>
        <w:t xml:space="preserve">Quercus rubra</w:t>
      </w:r>
      <w:r>
        <w:t xml:space="preserve">, northern red oak [P]</w:t>
      </w:r>
    </w:p>
    <w:p>
      <w:pPr>
        <w:pStyle w:val="BodyText"/>
      </w:pPr>
      <w:r>
        <w:rPr>
          <w:bCs/>
          <w:b/>
        </w:rPr>
        <w:t xml:space="preserve">11b.</w:t>
      </w:r>
      <w:r>
        <w:t xml:space="preserve"> </w:t>
      </w:r>
      <w:r>
        <w:t xml:space="preserve">Leaf not lobed, or only shallowly and irregularly so. →</w:t>
      </w:r>
      <w:r>
        <w:t xml:space="preserve"> </w:t>
      </w:r>
      <w:r>
        <w:rPr>
          <w:bCs/>
          <w:b/>
        </w:rPr>
        <w:t xml:space="preserve">go to 12</w:t>
      </w:r>
    </w:p>
    <w:p>
      <w:pPr>
        <w:pStyle w:val="BodyText"/>
      </w:pPr>
      <w:r>
        <w:rPr>
          <w:bCs/>
          <w:b/>
        </w:rPr>
        <w:t xml:space="preserve">12a.</w:t>
      </w:r>
      <w:r>
        <w:t xml:space="preserve"> </w:t>
      </w:r>
      <w:r>
        <w:t xml:space="preserve">Leaves variable on the same tree — some unlobed, some with one or several deep lobes; fruit a soft blackberry-like cluster. →</w:t>
      </w:r>
      <w:r>
        <w:t xml:space="preserve"> </w:t>
      </w:r>
      <w:r>
        <w:rPr>
          <w:iCs/>
          <w:i/>
          <w:bCs/>
          <w:b/>
        </w:rPr>
        <w:t xml:space="preserve">Morus alba</w:t>
      </w:r>
      <w:r>
        <w:t xml:space="preserve">, white mulberry [P]</w:t>
      </w:r>
    </w:p>
    <w:p>
      <w:pPr>
        <w:pStyle w:val="BodyText"/>
      </w:pPr>
      <w:r>
        <w:rPr>
          <w:bCs/>
          <w:b/>
        </w:rPr>
        <w:t xml:space="preserve">12b.</w:t>
      </w:r>
      <w:r>
        <w:t xml:space="preserve"> </w:t>
      </w:r>
      <w:r>
        <w:t xml:space="preserve">Not as either of the above. →</w:t>
      </w:r>
      <w:r>
        <w:t xml:space="preserve"> </w:t>
      </w:r>
      <w:r>
        <w:rPr>
          <w:bCs/>
          <w:b/>
        </w:rPr>
        <w:t xml:space="preserve">go to 13</w:t>
      </w:r>
    </w:p>
    <w:p>
      <w:pPr>
        <w:pStyle w:val="BodyText"/>
      </w:pPr>
      <w:r>
        <w:rPr>
          <w:bCs/>
          <w:b/>
        </w:rPr>
        <w:t xml:space="preserve">13a.</w:t>
      </w:r>
      <w:r>
        <w:t xml:space="preserve"> </w:t>
      </w:r>
      <w:r>
        <w:t xml:space="preserve">Twigs armed with stout unbranched thorns, woody right through and not shearing off; leaf 2.5–10 cm, toothed and often shallowly lobed; fruit a small pome containing hard bony nutlets; flowers white in flat-topped clusters. →</w:t>
      </w:r>
      <w:r>
        <w:t xml:space="preserve"> </w:t>
      </w:r>
      <w:r>
        <w:rPr>
          <w:iCs/>
          <w:i/>
          <w:bCs/>
          <w:b/>
        </w:rPr>
        <w:t xml:space="preserve">Crataegus sp.</w:t>
      </w:r>
      <w:r>
        <w:t xml:space="preserve">, hawthorn [P]</w:t>
      </w:r>
    </w:p>
    <w:p>
      <w:pPr>
        <w:pStyle w:val="BodyText"/>
      </w:pPr>
      <w:r>
        <w:rPr>
          <w:bCs/>
          <w:b/>
        </w:rPr>
        <w:t xml:space="preserve">13b.</w:t>
      </w:r>
      <w:r>
        <w:t xml:space="preserve"> </w:t>
      </w:r>
      <w:r>
        <w:t xml:space="preserve">Twigs unarmed. →</w:t>
      </w:r>
      <w:r>
        <w:t xml:space="preserve"> </w:t>
      </w:r>
      <w:r>
        <w:rPr>
          <w:bCs/>
          <w:b/>
        </w:rPr>
        <w:t xml:space="preserve">go to 14</w:t>
      </w:r>
    </w:p>
    <w:p>
      <w:pPr>
        <w:pStyle w:val="BlockText"/>
      </w:pPr>
      <w:r>
        <w:t xml:space="preserve">Hawthorns are keyed to genus here and left there. There are somewhere between 100 and 200 species in North America, they hybridise freely, and telling them apart needs flowers</w:t>
      </w:r>
      <w:r>
        <w:t xml:space="preserve"> </w:t>
      </w:r>
      <w:r>
        <w:rPr>
          <w:iCs/>
          <w:i/>
        </w:rPr>
        <w:t xml:space="preserve">and</w:t>
      </w:r>
      <w:r>
        <w:t xml:space="preserve"> </w:t>
      </w:r>
      <w:r>
        <w:t xml:space="preserve">mature fruit in hand. Stopping at the genus is the correct professional answer, not a failure.</w:t>
      </w:r>
    </w:p>
    <w:p>
      <w:pPr>
        <w:pStyle w:val="FirstParagraph"/>
      </w:pPr>
      <w:r>
        <w:rPr>
          <w:bCs/>
          <w:b/>
        </w:rPr>
        <w:t xml:space="preserve">14a.</w:t>
      </w:r>
      <w:r>
        <w:t xml:space="preserve"> </w:t>
      </w:r>
      <w:r>
        <w:t xml:space="preserve">Leaf narrow, 3–4 times longer than wide, often folded upward along the midrib; two small glands where the blade meets the petiole; three buds side by side at each node on winter twigs; fruit a large velvety drupe. →</w:t>
      </w:r>
      <w:r>
        <w:t xml:space="preserve"> </w:t>
      </w:r>
      <w:r>
        <w:rPr>
          <w:iCs/>
          <w:i/>
          <w:bCs/>
          <w:b/>
        </w:rPr>
        <w:t xml:space="preserve">Prunus persica</w:t>
      </w:r>
      <w:r>
        <w:t xml:space="preserve">, peach [P]</w:t>
      </w:r>
    </w:p>
    <w:p>
      <w:pPr>
        <w:pStyle w:val="BodyText"/>
      </w:pPr>
      <w:r>
        <w:rPr>
          <w:bCs/>
          <w:b/>
        </w:rPr>
        <w:t xml:space="preserve">14b.</w:t>
      </w:r>
      <w:r>
        <w:t xml:space="preserve"> </w:t>
      </w:r>
      <w:r>
        <w:t xml:space="preserve">Leaf oblong, about 2–2.5 times longer than wide, finely toothed, glossy above, usually with a band of brownish hairs along the midrib beneath; flowers in a long hanging raceme of twenty or more; bark on older trunks breaking into small upturned plates like burnt cornflakes; scratched twigs smell of bitter almonds. →</w:t>
      </w:r>
      <w:r>
        <w:t xml:space="preserve"> </w:t>
      </w:r>
      <w:r>
        <w:rPr>
          <w:iCs/>
          <w:i/>
          <w:bCs/>
          <w:b/>
        </w:rPr>
        <w:t xml:space="preserve">Prunus serotina</w:t>
      </w:r>
      <w:r>
        <w:t xml:space="preserve">, black cherry [P]</w:t>
      </w:r>
    </w:p>
    <w:p>
      <w:pPr>
        <w:pStyle w:val="BodyText"/>
      </w:pPr>
      <w:r>
        <w:rPr>
          <w:bCs/>
          <w:b/>
        </w:rPr>
        <w:t xml:space="preserve">14c.</w:t>
      </w:r>
      <w:r>
        <w:t xml:space="preserve"> </w:t>
      </w:r>
      <w:r>
        <w:t xml:space="preserve">Leaf broader, less than twice as long as wide; fruit a pome. →</w:t>
      </w:r>
      <w:r>
        <w:t xml:space="preserve"> </w:t>
      </w:r>
      <w:r>
        <w:rPr>
          <w:iCs/>
          <w:i/>
          <w:bCs/>
          <w:b/>
        </w:rPr>
        <w:t xml:space="preserve">Malus sp.</w:t>
      </w:r>
      <w:r>
        <w:t xml:space="preserve">, crabapple and domestic apple [P]</w:t>
      </w:r>
    </w:p>
    <w:bookmarkEnd w:id="22"/>
    <w:bookmarkStart w:id="23" w:name="the-trees-on-this-walk"/>
    <w:p>
      <w:pPr>
        <w:pStyle w:val="Heading2"/>
      </w:pPr>
      <w:r>
        <w:t xml:space="preserve">The trees on this walk</w:t>
      </w:r>
    </w:p>
    <w:p>
      <w:pPr>
        <w:pStyle w:val="FirstParagraph"/>
      </w:pPr>
      <w:r>
        <w:t xml:space="preserve">Tick them off as you go. The order is not the walking order — follow the map.</w:t>
      </w:r>
    </w:p>
    <w:tbl>
      <w:tblPr>
        <w:tblStyle w:val="Table"/>
        <w:tblW w:type="dxa" w:w="9360"/>
        <w:tblLook w:firstRow="1" w:lastRow="0" w:firstColumn="0" w:lastColumn="0" w:noHBand="0" w:noVBand="0" w:val="0020"/>
        <w:jc w:val="start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Species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Common name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Native?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Couplet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Got it?</w:t>
            </w: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Abies lasiocarpa</w:t>
            </w:r>
            <w:r>
              <w:t xml:space="preserve"> </w:t>
            </w:r>
            <w:r>
              <w:t xml:space="preserve">var.</w:t>
            </w:r>
            <w:r>
              <w:t xml:space="preserve"> </w:t>
            </w:r>
            <w:r>
              <w:rPr>
                <w:iCs/>
                <w:i/>
              </w:rPr>
              <w:t xml:space="preserve">arizonica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corkbark fir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7b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Abies pinsapo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Spanish fir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7a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pseudoplatanus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sycamore maple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8a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Betula pendula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European white birch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10a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Cedrus atlantica</w:t>
            </w:r>
            <w:r>
              <w:t xml:space="preserve"> </w:t>
            </w:r>
            <w:r>
              <w:t xml:space="preserve">var.</w:t>
            </w:r>
            <w:r>
              <w:t xml:space="preserve"> </w:t>
            </w:r>
            <w:r>
              <w:rPr>
                <w:iCs/>
                <w:i/>
              </w:rPr>
              <w:t xml:space="preserve">glauca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blue atlas cedar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Crataegus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hawthorn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13a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Malus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crabapple and domestic apple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14c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Morus alba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white mulberry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12a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Picea abies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Norway spruce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5a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Picea pungens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Colorado blue spruce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5b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ponderosa</w:t>
            </w:r>
            <w:r>
              <w:t xml:space="preserve"> </w:t>
            </w:r>
            <w:r>
              <w:t xml:space="preserve">var.</w:t>
            </w:r>
            <w:r>
              <w:t xml:space="preserve"> </w:t>
            </w:r>
            <w:r>
              <w:rPr>
                <w:iCs/>
                <w:i/>
              </w:rPr>
              <w:t xml:space="preserve">scopulorum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ponderosa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sylvestris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Scots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Prunus persica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peach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14a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Prunus serotina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black cherry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14b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Quercus rubra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northern red oak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11a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Rosa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rose — the Riles and McCormick roses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9a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Sequoiadendron giganteum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giant sequoia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Tsuga canadensis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eastern hemlock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6a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</w:tbl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google.com/maps/d/viewer?mid=17MquqgFMAz47Fywbk5kbhptIV8MY4hd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google.com/maps/d/viewer?mid=17MquqgFMAz47Fywbk5kbhptIV8MY4hd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2026-09-14T23:49:12Z</dcterms:created>
  <dcterms:modified xsi:type="dcterms:W3CDTF">2026-09-14T23:49:12Z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