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littleman-tree-walk-field-key"/>
    <w:p>
      <w:pPr>
        <w:pStyle w:val="Heading1"/>
      </w:pPr>
      <w:r>
        <w:t xml:space="preserve">Littleman Tree Walk — Field Key</w:t>
      </w:r>
    </w:p>
    <w:p>
      <w:pPr>
        <w:pStyle w:val="FirstParagraph"/>
      </w:pPr>
      <w:r>
        <w:rPr>
          <w:iCs/>
          <w:i/>
        </w:rPr>
        <w:t xml:space="preserve">NAU Arboretum · ENV 226 Ecology Lab · 12 taxa, 10 couplets</w:t>
      </w:r>
    </w:p>
    <w:p>
      <w:pPr>
        <w:pStyle w:val="BodyText"/>
      </w:pPr>
      <w:r>
        <w:t xml:space="preserve">Find the tree on the map, stand under it, and key it</w:t>
      </w:r>
      <w:r>
        <w:t xml:space="preserve"> </w:t>
      </w:r>
      <w:r>
        <w:rPr>
          <w:bCs/>
          <w:b/>
        </w:rPr>
        <w:t xml:space="preserve">before</w:t>
      </w:r>
      <w:r>
        <w:t xml:space="preserve"> </w:t>
      </w:r>
      <w:r>
        <w:t xml:space="preserve">you open the</w:t>
      </w:r>
      <w:r>
        <w:t xml:space="preserve"> </w:t>
      </w:r>
      <w:r>
        <w:t xml:space="preserve">pin description — the description names the species. Decide how confident you are</w:t>
      </w:r>
      <w:r>
        <w:t xml:space="preserve"> </w:t>
      </w:r>
      <w:r>
        <w:rPr>
          <w:iCs/>
          <w:i/>
        </w:rPr>
        <w:t xml:space="preserve">before</w:t>
      </w:r>
      <w:r>
        <w:t xml:space="preserve"> </w:t>
      </w:r>
      <w:r>
        <w:t xml:space="preserve">you check, and write the name down either way.</w:t>
      </w:r>
    </w:p>
    <w:p>
      <w:pPr>
        <w:pStyle w:val="BodyText"/>
      </w:pPr>
      <w:r>
        <w:t xml:space="preserve">Map:</w:t>
      </w:r>
      <w:r>
        <w:t xml:space="preserve"> </w:t>
      </w:r>
      <w:hyperlink r:id="rId20">
        <w:r>
          <w:rPr>
            <w:rStyle w:val="Hyperlink"/>
          </w:rPr>
          <w:t xml:space="preserve">https://www.google.com/maps/d/viewer?mid=17MquqgFMAz47Fywbk5kbhptIV8MY4hdI</w:t>
        </w:r>
      </w:hyperlink>
    </w:p>
    <w:p>
      <w:pPr>
        <w:pStyle w:val="BodyText"/>
      </w:pPr>
      <w:r>
        <w:t xml:space="preserve">This key is pruned to the trees on this walk, so its couplet numbers are its own and will not</w:t>
      </w:r>
      <w:r>
        <w:t xml:space="preserve"> </w:t>
      </w:r>
      <w:r>
        <w:t xml:space="preserve">match the full campus key.</w:t>
      </w:r>
    </w:p>
    <w:p>
      <w:pPr>
        <w:pStyle w:val="BodyText"/>
      </w:pPr>
      <w:r>
        <w:rPr>
          <w:bCs/>
          <w:b/>
        </w:rPr>
        <w:t xml:space="preserve">Start here.</w:t>
      </w:r>
      <w:r>
        <w:t xml:space="preserve"> </w:t>
      </w:r>
      <w:r>
        <w:t xml:space="preserve">Look at the leaves first:</w:t>
      </w:r>
    </w:p>
    <w:p>
      <w:pPr>
        <w:numPr>
          <w:ilvl w:val="0"/>
          <w:numId w:val="1001"/>
        </w:numPr>
        <w:pStyle w:val="Compact"/>
      </w:pPr>
      <w:r>
        <w:t xml:space="preserve">Leaves</w:t>
      </w:r>
      <w:r>
        <w:t xml:space="preserve"> </w:t>
      </w:r>
      <w:r>
        <w:rPr>
          <w:bCs/>
          <w:b/>
        </w:rPr>
        <w:t xml:space="preserve">needle-like or scale-like (a conifer)</w:t>
      </w:r>
      <w:r>
        <w:t xml:space="preserve"> </w:t>
      </w:r>
      <w:r>
        <w:t xml:space="preserve">→ go to couplet 1</w:t>
      </w:r>
    </w:p>
    <w:p>
      <w:pPr>
        <w:numPr>
          <w:ilvl w:val="0"/>
          <w:numId w:val="1001"/>
        </w:numPr>
        <w:pStyle w:val="Compact"/>
      </w:pPr>
      <w:r>
        <w:t xml:space="preserve">Leaves</w:t>
      </w:r>
      <w:r>
        <w:t xml:space="preserve"> </w:t>
      </w:r>
      <w:r>
        <w:rPr>
          <w:bCs/>
          <w:b/>
        </w:rPr>
        <w:t xml:space="preserve">broad and flat (a hardwood)</w:t>
      </w:r>
      <w:r>
        <w:t xml:space="preserve"> </w:t>
      </w:r>
      <w:r>
        <w:t xml:space="preserve">→ go to couplet 6</w:t>
      </w:r>
    </w:p>
    <w:p>
      <w:r>
        <w:pict>
          <v:rect style="width:0;height:1.5pt" o:hralign="center" o:hrstd="t" o:hr="t"/>
        </w:pict>
      </w:r>
    </w:p>
    <w:bookmarkStart w:id="21" w:name="X9f7b88d00abe9a1e19cd917123a5c3e395db837"/>
    <w:p>
      <w:pPr>
        <w:pStyle w:val="Heading2"/>
      </w:pPr>
      <w:r>
        <w:t xml:space="preserve">Group I — Leaves needle-like or scale-like (conifers)</w:t>
      </w:r>
    </w:p>
    <w:p>
      <w:pPr>
        <w:pStyle w:val="FirstParagraph"/>
      </w:pPr>
      <w:r>
        <w:rPr>
          <w:bCs/>
          <w:b/>
        </w:rPr>
        <w:t xml:space="preserve">1a.</w:t>
      </w:r>
      <w:r>
        <w:t xml:space="preserve"> </w:t>
      </w:r>
      <w:r>
        <w:t xml:space="preserve">Leaves scale-like, or short and awl-shaped, overlapping and pressed close along the twig. →</w:t>
      </w:r>
      <w:r>
        <w:t xml:space="preserve"> </w:t>
      </w:r>
      <w:r>
        <w:rPr>
          <w:bCs/>
          <w:b/>
        </w:rPr>
        <w:t xml:space="preserve">go to 2</w:t>
      </w:r>
    </w:p>
    <w:p>
      <w:pPr>
        <w:pStyle w:val="BodyText"/>
      </w:pPr>
      <w:r>
        <w:rPr>
          <w:bCs/>
          <w:b/>
        </w:rPr>
        <w:t xml:space="preserve">1b.</w:t>
      </w:r>
      <w:r>
        <w:t xml:space="preserve"> </w:t>
      </w:r>
      <w:r>
        <w:t xml:space="preserve">Leaves needle-like, standing clearly out from the twig. →</w:t>
      </w:r>
      <w:r>
        <w:t xml:space="preserve"> </w:t>
      </w:r>
      <w:r>
        <w:rPr>
          <w:bCs/>
          <w:b/>
        </w:rPr>
        <w:t xml:space="preserve">go to 3</w:t>
      </w:r>
    </w:p>
    <w:p>
      <w:pPr>
        <w:pStyle w:val="BodyText"/>
      </w:pPr>
      <w:r>
        <w:rPr>
          <w:bCs/>
          <w:b/>
        </w:rPr>
        <w:t xml:space="preserve">2a.</w:t>
      </w:r>
      <w:r>
        <w:t xml:space="preserve"> </w:t>
      </w:r>
      <w:r>
        <w:t xml:space="preserve">Bark broken into hard, roughly square plates, like alligator hide. →</w:t>
      </w:r>
      <w:r>
        <w:t xml:space="preserve"> </w:t>
      </w:r>
      <w:r>
        <w:rPr>
          <w:iCs/>
          <w:i/>
          <w:bCs/>
          <w:b/>
        </w:rPr>
        <w:t xml:space="preserve">Juniperus deppeana</w:t>
      </w:r>
      <w:r>
        <w:t xml:space="preserve">, alligator juniper [N]</w:t>
      </w:r>
    </w:p>
    <w:p>
      <w:pPr>
        <w:pStyle w:val="BodyText"/>
      </w:pPr>
      <w:r>
        <w:rPr>
          <w:bCs/>
          <w:b/>
        </w:rPr>
        <w:t xml:space="preserve">2b.</w:t>
      </w:r>
      <w:r>
        <w:t xml:space="preserve"> </w:t>
      </w:r>
      <w:r>
        <w:t xml:space="preserve">Bark shredding; margins minutely toothed; foliage distinctly yellow-green; cones bluish-brown, often tan beneath the bloom. →</w:t>
      </w:r>
      <w:r>
        <w:t xml:space="preserve"> </w:t>
      </w:r>
      <w:r>
        <w:rPr>
          <w:iCs/>
          <w:i/>
          <w:bCs/>
          <w:b/>
        </w:rPr>
        <w:t xml:space="preserve">Juniperus osteosperma</w:t>
      </w:r>
      <w:r>
        <w:t xml:space="preserve">, Utah juniper [N]</w:t>
      </w:r>
    </w:p>
    <w:p>
      <w:pPr>
        <w:pStyle w:val="BodyText"/>
      </w:pPr>
      <w:r>
        <w:rPr>
          <w:bCs/>
          <w:b/>
        </w:rPr>
        <w:t xml:space="preserve">3a.</w:t>
      </w:r>
      <w:r>
        <w:t xml:space="preserve"> </w:t>
      </w:r>
      <w:r>
        <w:t xml:space="preserve">Needles in bundles of 2–5, wrapped at the base in a papery sheath. →</w:t>
      </w:r>
      <w:r>
        <w:t xml:space="preserve"> </w:t>
      </w:r>
      <w:r>
        <w:rPr>
          <w:iCs/>
          <w:i/>
          <w:bCs/>
          <w:b/>
        </w:rPr>
        <w:t xml:space="preserve">Pinus edulis</w:t>
      </w:r>
      <w:r>
        <w:t xml:space="preserve">, two-needle pinyon [N]</w:t>
      </w:r>
    </w:p>
    <w:p>
      <w:pPr>
        <w:pStyle w:val="BodyText"/>
      </w:pPr>
      <w:r>
        <w:rPr>
          <w:bCs/>
          <w:b/>
        </w:rPr>
        <w:t xml:space="preserve">3b.</w:t>
      </w:r>
      <w:r>
        <w:t xml:space="preserve"> </w:t>
      </w:r>
      <w:r>
        <w:t xml:space="preserve">Needles borne singly along the twig. →</w:t>
      </w:r>
      <w:r>
        <w:t xml:space="preserve"> </w:t>
      </w:r>
      <w:r>
        <w:rPr>
          <w:bCs/>
          <w:b/>
        </w:rPr>
        <w:t xml:space="preserve">go to 4</w:t>
      </w:r>
    </w:p>
    <w:p>
      <w:pPr>
        <w:pStyle w:val="BodyText"/>
      </w:pPr>
      <w:r>
        <w:rPr>
          <w:bCs/>
          <w:b/>
        </w:rPr>
        <w:t xml:space="preserve">4a.</w:t>
      </w:r>
      <w:r>
        <w:t xml:space="preserve"> </w:t>
      </w:r>
      <w:r>
        <w:t xml:space="preserve">Needles four-sided — roll one between finger and thumb and it turns rather than resisting; sharp-tipped; borne on small woody pegs that stay on the twig after the needle falls, leaving old twigs rough. →</w:t>
      </w:r>
      <w:r>
        <w:t xml:space="preserve"> </w:t>
      </w:r>
      <w:r>
        <w:rPr>
          <w:bCs/>
          <w:b/>
        </w:rPr>
        <w:t xml:space="preserve">go to 5</w:t>
      </w:r>
    </w:p>
    <w:p>
      <w:pPr>
        <w:pStyle w:val="BodyText"/>
      </w:pPr>
      <w:r>
        <w:rPr>
          <w:bCs/>
          <w:b/>
        </w:rPr>
        <w:t xml:space="preserve">4b.</w:t>
      </w:r>
      <w:r>
        <w:t xml:space="preserve"> </w:t>
      </w:r>
      <w:r>
        <w:t xml:space="preserve">Needles flat — roll one and it resists. →</w:t>
      </w:r>
      <w:r>
        <w:t xml:space="preserve"> </w:t>
      </w:r>
      <w:r>
        <w:rPr>
          <w:iCs/>
          <w:i/>
          <w:bCs/>
          <w:b/>
        </w:rPr>
        <w:t xml:space="preserve">Abies concolor</w:t>
      </w:r>
      <w:r>
        <w:t xml:space="preserve">, white fir [N]</w:t>
      </w:r>
    </w:p>
    <w:p>
      <w:pPr>
        <w:pStyle w:val="BodyText"/>
      </w:pPr>
      <w:r>
        <w:rPr>
          <w:bCs/>
          <w:b/>
        </w:rPr>
        <w:t xml:space="preserve">5a.</w:t>
      </w:r>
      <w:r>
        <w:t xml:space="preserve"> </w:t>
      </w:r>
      <w:r>
        <w:t xml:space="preserve">Cone 2.3–4.5 cm, the smallest here; cone scales broadest near the tip and stiff; needles somewhat flexible, yellow-green to dark green, not blue; twigs densely hairy. →</w:t>
      </w:r>
      <w:r>
        <w:t xml:space="preserve"> </w:t>
      </w:r>
      <w:r>
        <w:rPr>
          <w:iCs/>
          <w:i/>
          <w:bCs/>
          <w:b/>
        </w:rPr>
        <w:t xml:space="preserve">Picea rubens</w:t>
      </w:r>
      <w:r>
        <w:t xml:space="preserve">, red spruce [P]</w:t>
      </w:r>
    </w:p>
    <w:p>
      <w:pPr>
        <w:pStyle w:val="BodyText"/>
      </w:pPr>
      <w:r>
        <w:rPr>
          <w:bCs/>
          <w:b/>
        </w:rPr>
        <w:t xml:space="preserve">5b.</w:t>
      </w:r>
      <w:r>
        <w:t xml:space="preserve"> </w:t>
      </w:r>
      <w:r>
        <w:t xml:space="preserve">Cone 3–12 cm; needles blue-green to blue-white. →</w:t>
      </w:r>
      <w:r>
        <w:t xml:space="preserve"> </w:t>
      </w:r>
      <w:r>
        <w:rPr>
          <w:iCs/>
          <w:i/>
          <w:bCs/>
          <w:b/>
        </w:rPr>
        <w:t xml:space="preserve">Picea engelmannii</w:t>
      </w:r>
      <w:r>
        <w:t xml:space="preserve">, Engelmann spruce [N]</w:t>
      </w:r>
    </w:p>
    <w:bookmarkEnd w:id="21"/>
    <w:bookmarkStart w:id="22" w:name="group-ii-leaves-broad-and-flat-hardwoods"/>
    <w:p>
      <w:pPr>
        <w:pStyle w:val="Heading2"/>
      </w:pPr>
      <w:r>
        <w:t xml:space="preserve">Group II — Leaves broad and flat (hardwoods)</w:t>
      </w:r>
    </w:p>
    <w:p>
      <w:pPr>
        <w:pStyle w:val="FirstParagraph"/>
      </w:pPr>
      <w:r>
        <w:rPr>
          <w:bCs/>
          <w:b/>
        </w:rPr>
        <w:t xml:space="preserve">6a.</w:t>
      </w:r>
      <w:r>
        <w:t xml:space="preserve"> </w:t>
      </w:r>
      <w:r>
        <w:t xml:space="preserve">Leaves opposite — in pairs directly across from each other. →</w:t>
      </w:r>
      <w:r>
        <w:t xml:space="preserve"> </w:t>
      </w:r>
      <w:r>
        <w:rPr>
          <w:iCs/>
          <w:i/>
          <w:bCs/>
          <w:b/>
        </w:rPr>
        <w:t xml:space="preserve">Acer saccharum</w:t>
      </w:r>
      <w:r>
        <w:t xml:space="preserve">, sugar maple [P]</w:t>
      </w:r>
    </w:p>
    <w:p>
      <w:pPr>
        <w:pStyle w:val="BodyText"/>
      </w:pPr>
      <w:r>
        <w:rPr>
          <w:bCs/>
          <w:b/>
        </w:rPr>
        <w:t xml:space="preserve">6b.</w:t>
      </w:r>
      <w:r>
        <w:t xml:space="preserve"> </w:t>
      </w:r>
      <w:r>
        <w:t xml:space="preserve">Leaves alternate — staggered along the twig. →</w:t>
      </w:r>
      <w:r>
        <w:t xml:space="preserve"> </w:t>
      </w:r>
      <w:r>
        <w:rPr>
          <w:bCs/>
          <w:b/>
        </w:rPr>
        <w:t xml:space="preserve">go to 7</w:t>
      </w:r>
    </w:p>
    <w:p>
      <w:pPr>
        <w:pStyle w:val="BlockText"/>
      </w:pPr>
      <w:r>
        <w:t xml:space="preserve">Check this on a twig from this year’s growth, and check it twice. It is the most powerful character in this group and the one people most often get wrong on a crowded shoot.</w:t>
      </w:r>
    </w:p>
    <w:p>
      <w:pPr>
        <w:pStyle w:val="FirstParagraph"/>
      </w:pPr>
      <w:r>
        <w:rPr>
          <w:bCs/>
          <w:b/>
        </w:rPr>
        <w:t xml:space="preserve">7a.</w:t>
      </w:r>
      <w:r>
        <w:t xml:space="preserve"> </w:t>
      </w:r>
      <w:r>
        <w:t xml:space="preserve">Leaf compound. →</w:t>
      </w:r>
      <w:r>
        <w:t xml:space="preserve"> </w:t>
      </w:r>
      <w:r>
        <w:rPr>
          <w:iCs/>
          <w:i/>
          <w:bCs/>
          <w:b/>
        </w:rPr>
        <w:t xml:space="preserve">Rosa sp.</w:t>
      </w:r>
      <w:r>
        <w:t xml:space="preserve">, rose — the Riles and McCormick roses [P]</w:t>
      </w:r>
    </w:p>
    <w:p>
      <w:pPr>
        <w:pStyle w:val="BodyText"/>
      </w:pPr>
      <w:r>
        <w:rPr>
          <w:bCs/>
          <w:b/>
        </w:rPr>
        <w:t xml:space="preserve">7b.</w:t>
      </w:r>
      <w:r>
        <w:t xml:space="preserve"> </w:t>
      </w:r>
      <w:r>
        <w:t xml:space="preserve">Leaf simple. →</w:t>
      </w:r>
      <w:r>
        <w:t xml:space="preserve"> </w:t>
      </w:r>
      <w:r>
        <w:rPr>
          <w:bCs/>
          <w:b/>
        </w:rPr>
        <w:t xml:space="preserve">go to 8</w:t>
      </w:r>
    </w:p>
    <w:p>
      <w:pPr>
        <w:pStyle w:val="BodyText"/>
      </w:pPr>
      <w:r>
        <w:rPr>
          <w:bCs/>
          <w:b/>
        </w:rPr>
        <w:t xml:space="preserve">8a.</w:t>
      </w:r>
      <w:r>
        <w:t xml:space="preserve"> </w:t>
      </w:r>
      <w:r>
        <w:t xml:space="preserve">Bark smooth and chalky white to pale grey, at least on the upper trunk. →</w:t>
      </w:r>
      <w:r>
        <w:t xml:space="preserve"> </w:t>
      </w:r>
      <w:r>
        <w:rPr>
          <w:iCs/>
          <w:i/>
          <w:bCs/>
          <w:b/>
        </w:rPr>
        <w:t xml:space="preserve">Populus alba</w:t>
      </w:r>
      <w:r>
        <w:t xml:space="preserve">, white poplar [P]</w:t>
      </w:r>
    </w:p>
    <w:p>
      <w:pPr>
        <w:pStyle w:val="BodyText"/>
      </w:pPr>
      <w:r>
        <w:rPr>
          <w:bCs/>
          <w:b/>
        </w:rPr>
        <w:t xml:space="preserve">8b.</w:t>
      </w:r>
      <w:r>
        <w:t xml:space="preserve"> </w:t>
      </w:r>
      <w:r>
        <w:t xml:space="preserve">Bark not white. →</w:t>
      </w:r>
      <w:r>
        <w:t xml:space="preserve"> </w:t>
      </w:r>
      <w:r>
        <w:rPr>
          <w:bCs/>
          <w:b/>
        </w:rPr>
        <w:t xml:space="preserve">go to 9</w:t>
      </w:r>
    </w:p>
    <w:p>
      <w:pPr>
        <w:pStyle w:val="BodyText"/>
      </w:pPr>
      <w:r>
        <w:rPr>
          <w:bCs/>
          <w:b/>
        </w:rPr>
        <w:t xml:space="preserve">9a.</w:t>
      </w:r>
      <w:r>
        <w:t xml:space="preserve"> </w:t>
      </w:r>
      <w:r>
        <w:t xml:space="preserve">Petiole flattened side-to-side; leaf broadly triangular, 4–8 cm, with 3–15 coarse teeth per side, the tooth tips rounded; bark pale tan and deeply furrowed on old trunks. →</w:t>
      </w:r>
      <w:r>
        <w:t xml:space="preserve"> </w:t>
      </w:r>
      <w:r>
        <w:rPr>
          <w:iCs/>
          <w:i/>
          <w:bCs/>
          <w:b/>
        </w:rPr>
        <w:t xml:space="preserve">Populus fremontii</w:t>
      </w:r>
      <w:r>
        <w:t xml:space="preserve">, Fremont cottonwood [N]</w:t>
      </w:r>
    </w:p>
    <w:p>
      <w:pPr>
        <w:pStyle w:val="BodyText"/>
      </w:pPr>
      <w:r>
        <w:rPr>
          <w:bCs/>
          <w:b/>
        </w:rPr>
        <w:t xml:space="preserve">9b.</w:t>
      </w:r>
      <w:r>
        <w:t xml:space="preserve"> </w:t>
      </w:r>
      <w:r>
        <w:t xml:space="preserve">Petiole round or grooved, not flattened. →</w:t>
      </w:r>
      <w:r>
        <w:t xml:space="preserve"> </w:t>
      </w:r>
      <w:r>
        <w:rPr>
          <w:bCs/>
          <w:b/>
        </w:rPr>
        <w:t xml:space="preserve">go to 10</w:t>
      </w:r>
    </w:p>
    <w:p>
      <w:pPr>
        <w:pStyle w:val="BodyText"/>
      </w:pPr>
      <w:r>
        <w:rPr>
          <w:bCs/>
          <w:b/>
        </w:rPr>
        <w:t xml:space="preserve">10a.</w:t>
      </w:r>
      <w:r>
        <w:t xml:space="preserve"> </w:t>
      </w:r>
      <w:r>
        <w:t xml:space="preserve">Leaf base conspicuously lopsided — one side meets the petiole lower than the other. →</w:t>
      </w:r>
      <w:r>
        <w:t xml:space="preserve"> </w:t>
      </w:r>
      <w:r>
        <w:rPr>
          <w:iCs/>
          <w:i/>
          <w:bCs/>
          <w:b/>
        </w:rPr>
        <w:t xml:space="preserve">Ulmus americana</w:t>
      </w:r>
      <w:r>
        <w:t xml:space="preserve">, American elm — the George Washington Elm [P]</w:t>
      </w:r>
    </w:p>
    <w:p>
      <w:pPr>
        <w:pStyle w:val="BodyText"/>
      </w:pPr>
      <w:r>
        <w:rPr>
          <w:bCs/>
          <w:b/>
        </w:rPr>
        <w:t xml:space="preserve">10b.</w:t>
      </w:r>
      <w:r>
        <w:t xml:space="preserve"> </w:t>
      </w:r>
      <w:r>
        <w:t xml:space="preserve">Leaf base symmetrical or nearly so. →</w:t>
      </w:r>
      <w:r>
        <w:t xml:space="preserve"> </w:t>
      </w:r>
      <w:r>
        <w:rPr>
          <w:iCs/>
          <w:i/>
          <w:bCs/>
          <w:b/>
        </w:rPr>
        <w:t xml:space="preserve">Malus sp.</w:t>
      </w:r>
      <w:r>
        <w:t xml:space="preserve">, crabapple and domestic apple [P]</w:t>
      </w:r>
    </w:p>
    <w:bookmarkEnd w:id="22"/>
    <w:bookmarkStart w:id="23" w:name="the-trees-on-this-walk"/>
    <w:p>
      <w:pPr>
        <w:pStyle w:val="Heading2"/>
      </w:pPr>
      <w:r>
        <w:t xml:space="preserve">The trees on this walk</w:t>
      </w:r>
    </w:p>
    <w:p>
      <w:pPr>
        <w:pStyle w:val="FirstParagraph"/>
      </w:pPr>
      <w:r>
        <w:t xml:space="preserve">Tick them off as you go. The order is not the walking order — follow the map.</w:t>
      </w:r>
    </w:p>
    <w:tbl>
      <w:tblPr>
        <w:tblStyle w:val="Table"/>
        <w:tblW w:type="dxa" w:w="9360"/>
        <w:tblLook w:firstRow="1" w:lastRow="0" w:firstColumn="0" w:lastColumn="0" w:noHBand="0" w:noVBand="0" w:val="0020"/>
        <w:jc w:val="start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Species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Common name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Native?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Couplet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Got it?</w:t>
            </w: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Abies concolor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white fir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4b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Acer saccharum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sugar maple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6a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Juniperus deppeana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alligator juniper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Juniperus osteosperma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Utah juniper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2b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Malus sp.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crabapple and domestic apple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10b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Picea engelmannii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Engelmann spruce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5b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Picea rubens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red spruce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5a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Pinus edulis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two-needle pinyon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3a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Populus alba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white poplar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8a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Populus fremontii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Fremont cottonwood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9a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Rosa sp.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rose — the Riles and McCormick roses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7a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  <w:tr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Ulmus americana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American elm — the George Washington Elm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>
            <w:tcW w:type="dxa" w:w="1872"/>
          </w:tcPr>
          <w:tcPr/>
          <w:p>
            <w:pPr>
              <w:pStyle w:val="Compact"/>
              <w:jc w:val="left"/>
            </w:pPr>
            <w:r>
              <w:t xml:space="preserve">10a</w:t>
            </w:r>
          </w:p>
        </w:tc>
        <w:tc>
          <w:tcPr>
            <w:tcW w:type="dxa" w:w="1872"/>
          </w:tcPr>
          <w:tcPr/>
          <w:p>
            <w:pPr>
              <w:pStyle w:val="Compact"/>
            </w:pPr>
          </w:p>
        </w:tc>
      </w:tr>
    </w:tbl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google.com/maps/d/viewer?mid=17MquqgFMAz47Fywbk5kbhptIV8MY4hd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google.com/maps/d/viewer?mid=17MquqgFMAz47Fywbk5kbhptIV8MY4hd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2026-09-14T23:49:13Z</dcterms:created>
  <dcterms:modified xsi:type="dcterms:W3CDTF">2026-09-14T23:49:13Z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